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B993E" w14:textId="77777777" w:rsidR="00F445CE" w:rsidRPr="00445DA2" w:rsidRDefault="00F445CE" w:rsidP="006B133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24862774"/>
      <w:bookmarkStart w:id="1" w:name="_Toc474320092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</w:t>
      </w:r>
      <w:r w:rsidR="00C35F66"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ЗДЕЛ 3. Размеры, порядок расчёта</w:t>
      </w:r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уплаты вступительного и регулярного членских взносов</w:t>
      </w:r>
      <w:bookmarkEnd w:id="0"/>
    </w:p>
    <w:p w14:paraId="46F2D0BD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24862775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  <w:bookmarkEnd w:id="2"/>
    </w:p>
    <w:p w14:paraId="6C3ECE1B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разработано в соответствии с Уставом саморегулируемой организации «Союз дорожно-транспортных строителей «СОЮЗДОРСТРОЙ» (далее – Союз).</w:t>
      </w:r>
    </w:p>
    <w:p w14:paraId="4075CDC8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определяет порядок, размер и сроки внесения вступительных взносов и регулярных членских взносов членов Союза.</w:t>
      </w:r>
    </w:p>
    <w:p w14:paraId="026441C2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Каждый член Союза вправе оказывать Союзу дополнительную финансовую помощь в любое время и без ограничений.</w:t>
      </w:r>
    </w:p>
    <w:p w14:paraId="5B3B699F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1.4.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и регулярные членские взносы используются на обеспечение деятельности Союза, предусмотренной его Уставом.</w:t>
      </w:r>
    </w:p>
    <w:p w14:paraId="114FD0CF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1.5.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Размеры вступительного и регулярных членских взносов определяются настоящим Положением и утверждаются Общим собранием членов Союза.</w:t>
      </w:r>
    </w:p>
    <w:p w14:paraId="3E0A49B9" w14:textId="77777777" w:rsidR="00F445CE" w:rsidRPr="00445DA2" w:rsidRDefault="00F445CE" w:rsidP="006B133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BBB24B6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24862776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ВСТУПИТЕЛЬНЫЕ ВЗНОСЫ</w:t>
      </w:r>
      <w:bookmarkEnd w:id="3"/>
    </w:p>
    <w:p w14:paraId="457C202D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являются разовым обязательным денежным вкладом для предприятий, организаций и индивидуальных предпринимателей, изъявивших желание вступить в члены Союза, вне зависимости от их организационно-правовой формы, статуса и положения на рынке (далее по тексту – Кандидаты).</w:t>
      </w:r>
    </w:p>
    <w:p w14:paraId="45EB31D1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оплачиваются юридическими лицами и индивидуальными предпринимателями до мом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ента рассмотрения вопроса о приё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ме в члены Союза.</w:t>
      </w:r>
    </w:p>
    <w:p w14:paraId="6AE3061A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2.3.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 случае отказа заявителю о вступлении в члены Союза, вступ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ительный взнос возвращается путё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 перечисления на расч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ётный счё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 заявителя в течение 10 (десяти) дней с момента принятия соответствующего решения.</w:t>
      </w:r>
    </w:p>
    <w:p w14:paraId="226DF1DB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24862777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РЕГУЛЯРНЫЕ ЧЛЕНСКИЕ ВЗНОСЫ</w:t>
      </w:r>
      <w:bookmarkEnd w:id="4"/>
    </w:p>
    <w:p w14:paraId="6EE4334D" w14:textId="77777777" w:rsidR="00F445CE" w:rsidRPr="00445DA2" w:rsidRDefault="00F445CE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Регулярные членские взносы являются обязательным текущим денежным вкладом членов Союза.</w:t>
      </w:r>
    </w:p>
    <w:p w14:paraId="4390FB85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Регулярный членский взнос оплачивается каждым членом Союза ежеквартально не позднее 15 (Пятнадцатого) числа первого месяца квартала за текущий квартал.</w:t>
      </w:r>
    </w:p>
    <w:p w14:paraId="2C0E028C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принятия в члены Союза новой организации или индивидуального предпринимателя, регулярный членский взнос за текущий квартал оплачивается новым членом в течение 15 (Пятнадцати) дней с мом</w:t>
      </w:r>
      <w:r w:rsidR="008E7854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ента принятия в члены Союза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084778C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3.4.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Член Союза, не оплативший в указанные сроки членский взнос за текущий квартал, может быть подвергнут дисциплинарному взысканию в соответствии с действующим законодательством РФ и внутренними документами Союза.</w:t>
      </w:r>
    </w:p>
    <w:p w14:paraId="64EB02A9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3.5.1.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данных или невозможности подтвердить объ</w:t>
      </w:r>
      <w:r w:rsidR="00F15847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 выручки за предыдущий календарный год, регулярный членский взнос оплачивается </w:t>
      </w:r>
      <w:r w:rsidR="002C5331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новым членом Союза из расчё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та его ожидаемой выручки. По итогам календарного года размер уплаченного регулярного членского взноса корректируется по фактической выручке.</w:t>
      </w:r>
    </w:p>
    <w:p w14:paraId="26D1EE34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3.5.2.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Члены Союза включают в состав расходов на будущий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при формировании сметы объё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 финансовых средств, необходимых для уплаты регулярных членских взносов и направляют информацию об этом в «СОЮЗДОРСТРОЙ» до 15 января каждого года по форме согласно Приложению № 2 к настоящему Положению.</w:t>
      </w:r>
    </w:p>
    <w:p w14:paraId="5EAC0E71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3.6.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Член Союза в добровольном порядке вправе увеличить размер установленного регулярного членского взноса.</w:t>
      </w:r>
    </w:p>
    <w:p w14:paraId="09B2DED2" w14:textId="77777777" w:rsidR="00F445CE" w:rsidRPr="00445DA2" w:rsidRDefault="00F445CE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E1AC2A1" w14:textId="77777777" w:rsidR="00F445CE" w:rsidRPr="00445DA2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24862778"/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ЗАКЛЮЧИТЕЛЬНЫЕ ПОЛОЖЕНИЯ</w:t>
      </w:r>
      <w:bookmarkEnd w:id="5"/>
    </w:p>
    <w:p w14:paraId="53A977FF" w14:textId="77777777" w:rsidR="007A0530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4.1.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и регулярные членские взносы оплачиваются в порядке наличного и безналичного расч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та, в валюте Российской Федерации.</w:t>
      </w:r>
    </w:p>
    <w:p w14:paraId="276D65DA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4.2.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При выходе из Союза и/или исключении из Союза вступительные взносы и регулярные членские взносы возврату не подлежат.</w:t>
      </w:r>
    </w:p>
    <w:p w14:paraId="2AE92B79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4.3.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Проверку правильности учё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та взносов и надлежащего расходования производит Аудиторская организация, назначенная Советом Союза.</w:t>
      </w:r>
    </w:p>
    <w:p w14:paraId="4E357B2D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4.4.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Взносы считаются оплаченными в момент посту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пления денежных средств на расчётный счё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т или в кассу Союза.</w:t>
      </w:r>
    </w:p>
    <w:p w14:paraId="74C34C5B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4.5.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доводится до сведения всех членов Союза пут</w:t>
      </w:r>
      <w:r w:rsidR="00C35F66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м размещения на официальном сайте Союза в сети Интернет.</w:t>
      </w:r>
    </w:p>
    <w:p w14:paraId="03552531" w14:textId="77777777" w:rsidR="00F445CE" w:rsidRPr="00445DA2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4.6.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Данное Положение вступает в силу со дня внесения сведений о нём в государственный реестр саморегулируемых организаций.</w:t>
      </w:r>
    </w:p>
    <w:p w14:paraId="74806C17" w14:textId="77777777" w:rsidR="00F445CE" w:rsidRPr="00445DA2" w:rsidRDefault="00F445CE" w:rsidP="006B1337">
      <w:pPr>
        <w:rPr>
          <w:rFonts w:ascii="Times New Roman" w:hAnsi="Times New Roman" w:cs="Times New Roman"/>
          <w:color w:val="auto"/>
        </w:rPr>
      </w:pPr>
    </w:p>
    <w:p w14:paraId="7DBF9D66" w14:textId="77777777" w:rsidR="006B1337" w:rsidRPr="00445DA2" w:rsidRDefault="006B1337" w:rsidP="006B1337">
      <w:pPr>
        <w:spacing w:after="20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i/>
          <w:color w:val="auto"/>
          <w:sz w:val="28"/>
          <w:szCs w:val="28"/>
        </w:rPr>
        <w:br w:type="page"/>
      </w:r>
    </w:p>
    <w:p w14:paraId="3B064A51" w14:textId="66181D4B" w:rsidR="00F445CE" w:rsidRPr="00445DA2" w:rsidRDefault="006B1337" w:rsidP="00A64BC0">
      <w:pPr>
        <w:pStyle w:val="2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24862779"/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1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к Положению о вступительных и регулярных членских взносах «СОЮЗДОРСТРОЙ»</w:t>
      </w:r>
      <w:bookmarkEnd w:id="6"/>
    </w:p>
    <w:p w14:paraId="7B5DCD6E" w14:textId="77777777" w:rsidR="006B1337" w:rsidRPr="00445DA2" w:rsidRDefault="006B1337" w:rsidP="006B133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1B1BAE" w14:textId="77777777" w:rsidR="00C27982" w:rsidRDefault="00C27982" w:rsidP="00C2798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Расчёт членских взносов с 01.01.2024 года</w:t>
      </w:r>
    </w:p>
    <w:p w14:paraId="65A55138" w14:textId="77777777" w:rsidR="008F3F7C" w:rsidRPr="00445DA2" w:rsidRDefault="008F3F7C" w:rsidP="008F3F7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2662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Решениями Общего собрания членов Союза от 18.02.2015 года  и от 16.02.2023 г., разделом 3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азмеры членских взносов членов «СОЮЗДОРСТРОЙ» </w:t>
      </w:r>
      <w:r>
        <w:rPr>
          <w:rFonts w:ascii="Times New Roman" w:hAnsi="Times New Roman" w:cs="Times New Roman"/>
          <w:color w:val="auto"/>
          <w:sz w:val="28"/>
          <w:szCs w:val="28"/>
        </w:rPr>
        <w:t>с 01.01.2024 года индексируются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на уровень инфляции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2022 году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, выраженный в процентах относительно </w:t>
      </w:r>
      <w:r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(11,94)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>. Инфляция рассчитывается на основе индексов потребительских цен, публикуемых Федеральной службой государственной статистики.</w:t>
      </w:r>
    </w:p>
    <w:p w14:paraId="1229BDB1" w14:textId="77777777" w:rsidR="008F3F7C" w:rsidRPr="00445DA2" w:rsidRDefault="008F3F7C" w:rsidP="008F3F7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ля вновь вступающих организаций и индивидуальных предпринимателей с объёмом выручки за прошедший календарный год до 30 млн. рублей членский взнос устанавливается в размере </w:t>
      </w:r>
      <w:r>
        <w:rPr>
          <w:rFonts w:ascii="Times New Roman" w:hAnsi="Times New Roman" w:cs="Times New Roman"/>
          <w:color w:val="auto"/>
          <w:sz w:val="28"/>
          <w:szCs w:val="28"/>
        </w:rPr>
        <w:t>23 507</w:t>
      </w: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рублей в квартал.</w:t>
      </w:r>
    </w:p>
    <w:p w14:paraId="665EFBCD" w14:textId="77777777" w:rsidR="008F3F7C" w:rsidRPr="00445DA2" w:rsidRDefault="008F3F7C" w:rsidP="008F3F7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Размеры регулярных членских взносов членов «СОЮЗДОРСТРОЙ»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 01.01.2024 года</w:t>
      </w:r>
    </w:p>
    <w:p w14:paraId="64EED2C5" w14:textId="77777777" w:rsidR="008F3F7C" w:rsidRPr="00445DA2" w:rsidRDefault="008F3F7C" w:rsidP="008F3F7C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37 397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рублей в квартал для организаций и индивидуальных предпринимателей – членов Союза с объёмом выручки за прошедший календарный год до 100 млн. рублей. </w:t>
      </w:r>
    </w:p>
    <w:p w14:paraId="3918AD9A" w14:textId="77777777" w:rsidR="008F3F7C" w:rsidRPr="00445DA2" w:rsidRDefault="008F3F7C" w:rsidP="008F3F7C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74 794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квартал для членов Союза с объёмом выручки за прошедший год от 100 млн. до 500 млн. рублей.</w:t>
      </w:r>
    </w:p>
    <w:p w14:paraId="02C8C537" w14:textId="77777777" w:rsidR="008F3F7C" w:rsidRPr="00445DA2" w:rsidRDefault="008F3F7C" w:rsidP="008F3F7C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112 191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квартал для членов Союза с объёмом выручки за прошедший год от 500 млн. до 1 млрд. рублей.</w:t>
      </w:r>
    </w:p>
    <w:p w14:paraId="6B428168" w14:textId="77777777" w:rsidR="008F3F7C" w:rsidRPr="00445DA2" w:rsidRDefault="008F3F7C" w:rsidP="008F3F7C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149 588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рублей в квартал для членов Союза с объёмом выручки за прошедший год от 1 до 5 млрд. рублей.</w:t>
      </w:r>
    </w:p>
    <w:p w14:paraId="716B55FC" w14:textId="77777777" w:rsidR="008F3F7C" w:rsidRPr="00445DA2" w:rsidRDefault="008F3F7C" w:rsidP="008F3F7C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5.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223 880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рублей в квартал для членов Союза с объёмом выручки за прошедший год от 5 до 10 млрд. рублей.</w:t>
      </w:r>
    </w:p>
    <w:p w14:paraId="3DCEA859" w14:textId="77777777" w:rsidR="008F3F7C" w:rsidRPr="00445DA2" w:rsidRDefault="008F3F7C" w:rsidP="008F3F7C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6.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335 820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рублей в квартал для организаций и индивидуальных предпринимателей – членов Союза с объёмом выручки за прошедший календарный год от 10 до 20 млрд. рублей.</w:t>
      </w:r>
    </w:p>
    <w:p w14:paraId="3C1D254A" w14:textId="77777777" w:rsidR="008F3F7C" w:rsidRPr="00445DA2" w:rsidRDefault="008F3F7C" w:rsidP="008F3F7C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7.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447 760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рублей в квартал для членов Союза с объёмом выручки за прошедший год от 20 до 50 млрд. рублей.</w:t>
      </w:r>
    </w:p>
    <w:p w14:paraId="452C623F" w14:textId="77777777" w:rsidR="008F3F7C" w:rsidRPr="00445DA2" w:rsidRDefault="008F3F7C" w:rsidP="008F3F7C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8.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671 640</w:t>
      </w:r>
      <w:r w:rsidRPr="00445DA2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рублей в квартал для членов Союза с объёмом выручки за прошедший год свыше 50 млрд. рублей.</w:t>
      </w: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122D9FC0" w14:textId="28DDB4F3" w:rsidR="00F445CE" w:rsidRPr="00445DA2" w:rsidRDefault="006B1337" w:rsidP="00A64BC0">
      <w:pPr>
        <w:pStyle w:val="2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</w:rPr>
        <w:br w:type="page"/>
      </w:r>
      <w:bookmarkStart w:id="7" w:name="_Toc124862780"/>
      <w:r w:rsidRPr="00445DA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  <w:r w:rsidR="00A64BC0"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к Положению о вступительных и регулярных членских взносах «СОЮЗДОРСТРОЙ»</w:t>
      </w:r>
      <w:bookmarkEnd w:id="7"/>
    </w:p>
    <w:p w14:paraId="7B564A62" w14:textId="77777777" w:rsidR="00493DAE" w:rsidRPr="00445DA2" w:rsidRDefault="00493DAE" w:rsidP="00493DAE">
      <w:pPr>
        <w:rPr>
          <w:rFonts w:ascii="Times New Roman" w:hAnsi="Times New Roman" w:cs="Times New Roman"/>
          <w:color w:val="auto"/>
        </w:rPr>
      </w:pPr>
    </w:p>
    <w:p w14:paraId="3870964D" w14:textId="77777777" w:rsidR="00F445CE" w:rsidRPr="00445DA2" w:rsidRDefault="00F445CE" w:rsidP="006B1337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45DA2">
        <w:rPr>
          <w:rFonts w:ascii="Times New Roman" w:hAnsi="Times New Roman" w:cs="Times New Roman"/>
          <w:b/>
          <w:color w:val="auto"/>
          <w:sz w:val="28"/>
        </w:rPr>
        <w:t>График уплаты членских взносов</w:t>
      </w:r>
    </w:p>
    <w:p w14:paraId="5242D5D3" w14:textId="77777777" w:rsidR="006B1337" w:rsidRPr="00445DA2" w:rsidRDefault="006B1337" w:rsidP="006B1337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6911CEED" w14:textId="77777777" w:rsidR="00F445CE" w:rsidRPr="00445DA2" w:rsidRDefault="00F445CE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организации __________________________________</w:t>
      </w:r>
    </w:p>
    <w:p w14:paraId="6B3C3AAE" w14:textId="77777777" w:rsidR="00F445CE" w:rsidRPr="00445DA2" w:rsidRDefault="00F445CE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</w:t>
      </w:r>
    </w:p>
    <w:p w14:paraId="00A40439" w14:textId="77777777" w:rsidR="006B1337" w:rsidRPr="00445DA2" w:rsidRDefault="006B1337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F42BE79" w14:textId="77777777" w:rsidR="00F445CE" w:rsidRPr="00445DA2" w:rsidRDefault="0044626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Объё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м выручки за предыдущий год__________</w:t>
      </w:r>
      <w:proofErr w:type="spellStart"/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spellEnd"/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. руб.</w:t>
      </w:r>
    </w:p>
    <w:p w14:paraId="2E91F18A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График уплаты членских взносов на __________год</w:t>
      </w:r>
    </w:p>
    <w:p w14:paraId="2FEC0859" w14:textId="77777777" w:rsidR="006B1337" w:rsidRPr="00445DA2" w:rsidRDefault="006B133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312"/>
        <w:gridCol w:w="4678"/>
      </w:tblGrid>
      <w:tr w:rsidR="00445DA2" w:rsidRPr="00445DA2" w14:paraId="3FAC624C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0BEC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</w:t>
            </w:r>
            <w:r w:rsidRPr="00445DA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            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26CD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</w:t>
            </w:r>
            <w:r w:rsidRPr="00445DA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Сумма (тыс. руб.)</w:t>
            </w:r>
          </w:p>
        </w:tc>
      </w:tr>
      <w:tr w:rsidR="00445DA2" w:rsidRPr="00445DA2" w14:paraId="0F98A050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DB4E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31D3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5A78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45DA2" w:rsidRPr="00445DA2" w14:paraId="63A1E7C5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D422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0998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0620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45DA2" w:rsidRPr="00445DA2" w14:paraId="6A2AD0D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4ADB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8AD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3BE1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45DA2" w:rsidRPr="00445DA2" w14:paraId="58F36D7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F1D2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C8B9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D54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97D2F" w:rsidRPr="00445DA2" w14:paraId="0CA39D88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B29F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445DA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344E" w14:textId="77777777" w:rsidR="00F445CE" w:rsidRPr="00445DA2" w:rsidRDefault="00F445CE" w:rsidP="006B1337">
            <w:pPr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7BDF345B" w14:textId="77777777" w:rsidR="006B1337" w:rsidRPr="00445DA2" w:rsidRDefault="006B133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CE891FA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Расходы в сумме ______________________________тыс. руб.</w:t>
      </w:r>
    </w:p>
    <w:p w14:paraId="4134F4AB" w14:textId="77777777" w:rsidR="00F445CE" w:rsidRPr="00445DA2" w:rsidRDefault="00F44081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включены в объё</w:t>
      </w:r>
      <w:r w:rsidR="00F445CE" w:rsidRPr="00445DA2">
        <w:rPr>
          <w:rFonts w:ascii="Times New Roman" w:hAnsi="Times New Roman" w:cs="Times New Roman"/>
          <w:color w:val="auto"/>
          <w:sz w:val="28"/>
          <w:szCs w:val="28"/>
        </w:rPr>
        <w:t>м финансирования предприятия на текущий год.</w:t>
      </w:r>
    </w:p>
    <w:p w14:paraId="279B1D96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4CAD8B1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Генеральный директор                            ФИО____________/_______/</w:t>
      </w:r>
    </w:p>
    <w:p w14:paraId="74E79F91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4E17063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>Главный бухгалтер                                   ФИО____________/_______/</w:t>
      </w:r>
    </w:p>
    <w:p w14:paraId="07A189C4" w14:textId="77777777" w:rsidR="00F445CE" w:rsidRPr="00445DA2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45DA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М.П.</w:t>
      </w:r>
    </w:p>
    <w:p w14:paraId="5B2EEB29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32005E42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532CE610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7C82D6B7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427421B1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7C3D5CD6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591F8044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28889ABA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1BA4AC3C" w14:textId="77777777" w:rsidR="00F445CE" w:rsidRPr="00445DA2" w:rsidRDefault="00F445CE" w:rsidP="00F445CE">
      <w:pPr>
        <w:rPr>
          <w:rFonts w:ascii="Times New Roman" w:hAnsi="Times New Roman" w:cs="Times New Roman"/>
          <w:color w:val="auto"/>
        </w:rPr>
      </w:pPr>
    </w:p>
    <w:p w14:paraId="2D1169F4" w14:textId="5B273270" w:rsidR="0097486B" w:rsidRPr="001460CB" w:rsidRDefault="0097486B" w:rsidP="001460CB">
      <w:pPr>
        <w:spacing w:after="20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8" w:name="_GoBack"/>
      <w:bookmarkEnd w:id="1"/>
      <w:bookmarkEnd w:id="8"/>
    </w:p>
    <w:sectPr w:rsidR="0097486B" w:rsidRPr="001460CB" w:rsidSect="002856C8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D6AFA" w14:textId="77777777" w:rsidR="00D83677" w:rsidRDefault="00D83677" w:rsidP="006B1337">
      <w:pPr>
        <w:spacing w:line="240" w:lineRule="auto"/>
      </w:pPr>
      <w:r>
        <w:separator/>
      </w:r>
    </w:p>
  </w:endnote>
  <w:endnote w:type="continuationSeparator" w:id="0">
    <w:p w14:paraId="0BB680B7" w14:textId="77777777" w:rsidR="00D83677" w:rsidRDefault="00D83677" w:rsidP="006B1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980042"/>
      <w:docPartObj>
        <w:docPartGallery w:val="Page Numbers (Bottom of Page)"/>
        <w:docPartUnique/>
      </w:docPartObj>
    </w:sdtPr>
    <w:sdtEndPr/>
    <w:sdtContent>
      <w:p w14:paraId="700DE0DD" w14:textId="77777777" w:rsidR="006B1337" w:rsidRDefault="006B13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72">
          <w:rPr>
            <w:noProof/>
          </w:rPr>
          <w:t>18</w:t>
        </w:r>
        <w:r>
          <w:fldChar w:fldCharType="end"/>
        </w:r>
      </w:p>
    </w:sdtContent>
  </w:sdt>
  <w:p w14:paraId="5F7878B7" w14:textId="77777777" w:rsidR="006B1337" w:rsidRDefault="006B13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BCB87" w14:textId="77777777" w:rsidR="00D83677" w:rsidRDefault="00D83677" w:rsidP="006B1337">
      <w:pPr>
        <w:spacing w:line="240" w:lineRule="auto"/>
      </w:pPr>
      <w:r>
        <w:separator/>
      </w:r>
    </w:p>
  </w:footnote>
  <w:footnote w:type="continuationSeparator" w:id="0">
    <w:p w14:paraId="1E15EF25" w14:textId="77777777" w:rsidR="00D83677" w:rsidRDefault="00D83677" w:rsidP="006B1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16D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0940BD"/>
    <w:multiLevelType w:val="multilevel"/>
    <w:tmpl w:val="BEFEBD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25781F75"/>
    <w:multiLevelType w:val="multilevel"/>
    <w:tmpl w:val="2DDA7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AD1D7B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A94B3F"/>
    <w:multiLevelType w:val="multilevel"/>
    <w:tmpl w:val="1222F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BC1E5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A73C4F"/>
    <w:multiLevelType w:val="multilevel"/>
    <w:tmpl w:val="30D4B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trike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0F3E43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3634CC"/>
    <w:multiLevelType w:val="multilevel"/>
    <w:tmpl w:val="7346BD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5FF5C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918FC"/>
    <w:multiLevelType w:val="multilevel"/>
    <w:tmpl w:val="46AA444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/>
        <w:color w:val="00000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/>
        <w:color w:val="000000"/>
      </w:rPr>
    </w:lvl>
  </w:abstractNum>
  <w:abstractNum w:abstractNumId="11" w15:restartNumberingAfterBreak="0">
    <w:nsid w:val="697462E6"/>
    <w:multiLevelType w:val="multilevel"/>
    <w:tmpl w:val="28189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B80C9F"/>
    <w:multiLevelType w:val="multilevel"/>
    <w:tmpl w:val="27CAC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4D"/>
    <w:rsid w:val="0001420F"/>
    <w:rsid w:val="00036276"/>
    <w:rsid w:val="000463DA"/>
    <w:rsid w:val="000740A3"/>
    <w:rsid w:val="0008697F"/>
    <w:rsid w:val="00092755"/>
    <w:rsid w:val="000C02C0"/>
    <w:rsid w:val="000C03A8"/>
    <w:rsid w:val="000D0ED6"/>
    <w:rsid w:val="00102BA2"/>
    <w:rsid w:val="001340AF"/>
    <w:rsid w:val="001460CB"/>
    <w:rsid w:val="00152858"/>
    <w:rsid w:val="001658AB"/>
    <w:rsid w:val="00174276"/>
    <w:rsid w:val="00197D2F"/>
    <w:rsid w:val="001A32EA"/>
    <w:rsid w:val="001C0A0D"/>
    <w:rsid w:val="001D5B66"/>
    <w:rsid w:val="001E3643"/>
    <w:rsid w:val="00202F28"/>
    <w:rsid w:val="002856C8"/>
    <w:rsid w:val="002C5331"/>
    <w:rsid w:val="002D030A"/>
    <w:rsid w:val="00300C84"/>
    <w:rsid w:val="00306C4A"/>
    <w:rsid w:val="00316851"/>
    <w:rsid w:val="00415B67"/>
    <w:rsid w:val="004162A2"/>
    <w:rsid w:val="00433234"/>
    <w:rsid w:val="00434F06"/>
    <w:rsid w:val="00440ACC"/>
    <w:rsid w:val="00445DA2"/>
    <w:rsid w:val="00446267"/>
    <w:rsid w:val="004523EC"/>
    <w:rsid w:val="00493DAE"/>
    <w:rsid w:val="004D0DD5"/>
    <w:rsid w:val="00562DDF"/>
    <w:rsid w:val="00563544"/>
    <w:rsid w:val="005912DB"/>
    <w:rsid w:val="00593AF4"/>
    <w:rsid w:val="005E0475"/>
    <w:rsid w:val="00605DEB"/>
    <w:rsid w:val="00616A48"/>
    <w:rsid w:val="0063518C"/>
    <w:rsid w:val="00653180"/>
    <w:rsid w:val="006536CB"/>
    <w:rsid w:val="0067583C"/>
    <w:rsid w:val="006B1337"/>
    <w:rsid w:val="006B4072"/>
    <w:rsid w:val="006E48F2"/>
    <w:rsid w:val="006F2279"/>
    <w:rsid w:val="007164BA"/>
    <w:rsid w:val="007215F0"/>
    <w:rsid w:val="007454A4"/>
    <w:rsid w:val="007A0530"/>
    <w:rsid w:val="007C1D3F"/>
    <w:rsid w:val="007C3D1C"/>
    <w:rsid w:val="00854052"/>
    <w:rsid w:val="00854CB9"/>
    <w:rsid w:val="008904A1"/>
    <w:rsid w:val="00896DD2"/>
    <w:rsid w:val="008C52E0"/>
    <w:rsid w:val="008E7854"/>
    <w:rsid w:val="008F3F7C"/>
    <w:rsid w:val="008F58D6"/>
    <w:rsid w:val="00904895"/>
    <w:rsid w:val="00914276"/>
    <w:rsid w:val="0097486B"/>
    <w:rsid w:val="00A026AE"/>
    <w:rsid w:val="00A50100"/>
    <w:rsid w:val="00A50FF8"/>
    <w:rsid w:val="00A61C92"/>
    <w:rsid w:val="00A64BC0"/>
    <w:rsid w:val="00A717EB"/>
    <w:rsid w:val="00A8573D"/>
    <w:rsid w:val="00AA32F5"/>
    <w:rsid w:val="00AB58B7"/>
    <w:rsid w:val="00AE75FE"/>
    <w:rsid w:val="00B2198B"/>
    <w:rsid w:val="00B274DF"/>
    <w:rsid w:val="00B363DE"/>
    <w:rsid w:val="00B36C6A"/>
    <w:rsid w:val="00B37748"/>
    <w:rsid w:val="00BA3EE3"/>
    <w:rsid w:val="00BA56D2"/>
    <w:rsid w:val="00BE1743"/>
    <w:rsid w:val="00C12B6D"/>
    <w:rsid w:val="00C22E62"/>
    <w:rsid w:val="00C27982"/>
    <w:rsid w:val="00C35F66"/>
    <w:rsid w:val="00C41EB4"/>
    <w:rsid w:val="00C443EE"/>
    <w:rsid w:val="00CD669C"/>
    <w:rsid w:val="00CE7BCC"/>
    <w:rsid w:val="00D20CE3"/>
    <w:rsid w:val="00D23DC4"/>
    <w:rsid w:val="00D67C88"/>
    <w:rsid w:val="00D83677"/>
    <w:rsid w:val="00E3256D"/>
    <w:rsid w:val="00E520A1"/>
    <w:rsid w:val="00E532EC"/>
    <w:rsid w:val="00E74157"/>
    <w:rsid w:val="00EC3052"/>
    <w:rsid w:val="00EE584D"/>
    <w:rsid w:val="00F15847"/>
    <w:rsid w:val="00F35CCF"/>
    <w:rsid w:val="00F44081"/>
    <w:rsid w:val="00F445CE"/>
    <w:rsid w:val="00F45376"/>
    <w:rsid w:val="00F67FBC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B6BD"/>
  <w15:docId w15:val="{11EE4412-FFAE-4016-889B-46EF100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CE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445C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445C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B1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5CE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F445CE"/>
    <w:rPr>
      <w:rFonts w:ascii="Arial" w:eastAsia="Arial" w:hAnsi="Arial" w:cs="Arial"/>
      <w:color w:val="000000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F445C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445CE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445CE"/>
    <w:pPr>
      <w:tabs>
        <w:tab w:val="left" w:pos="660"/>
        <w:tab w:val="right" w:leader="dot" w:pos="9968"/>
      </w:tabs>
      <w:ind w:left="220"/>
    </w:pPr>
    <w:rPr>
      <w:rFonts w:ascii="Times New Roman" w:hAnsi="Times New Roman" w:cs="Times New Roman"/>
      <w:b/>
      <w:bCs/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F445CE"/>
    <w:pPr>
      <w:tabs>
        <w:tab w:val="right" w:leader="dot" w:pos="9968"/>
      </w:tabs>
      <w:ind w:left="440"/>
    </w:pPr>
    <w:rPr>
      <w:rFonts w:ascii="Times New Roman" w:hAnsi="Times New Roman" w:cs="Times New Roman"/>
      <w:i/>
      <w:strike/>
      <w:noProof/>
    </w:rPr>
  </w:style>
  <w:style w:type="character" w:customStyle="1" w:styleId="a4">
    <w:name w:val="Абзац списка Знак"/>
    <w:link w:val="a5"/>
    <w:uiPriority w:val="34"/>
    <w:locked/>
    <w:rsid w:val="00F445CE"/>
    <w:rPr>
      <w:color w:val="000000"/>
      <w:lang w:eastAsia="zh-CN"/>
    </w:rPr>
  </w:style>
  <w:style w:type="paragraph" w:styleId="a5">
    <w:name w:val="List Paragraph"/>
    <w:basedOn w:val="a"/>
    <w:link w:val="a4"/>
    <w:uiPriority w:val="34"/>
    <w:qFormat/>
    <w:rsid w:val="00F445C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F4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rsid w:val="00F445CE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rsid w:val="00F445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lk">
    <w:name w:val="blk"/>
    <w:basedOn w:val="a0"/>
    <w:rsid w:val="00F445CE"/>
  </w:style>
  <w:style w:type="paragraph" w:styleId="a6">
    <w:name w:val="Balloon Text"/>
    <w:basedOn w:val="a"/>
    <w:link w:val="a7"/>
    <w:uiPriority w:val="99"/>
    <w:semiHidden/>
    <w:unhideWhenUsed/>
    <w:rsid w:val="00452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3EC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337"/>
    <w:rPr>
      <w:rFonts w:ascii="Arial" w:eastAsia="Arial" w:hAnsi="Arial" w:cs="Arial"/>
      <w:color w:val="000000"/>
      <w:lang w:eastAsia="zh-CN"/>
    </w:rPr>
  </w:style>
  <w:style w:type="paragraph" w:styleId="aa">
    <w:name w:val="footer"/>
    <w:basedOn w:val="a"/>
    <w:link w:val="ab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337"/>
    <w:rPr>
      <w:rFonts w:ascii="Arial" w:eastAsia="Arial" w:hAnsi="Arial" w:cs="Arial"/>
      <w:color w:val="00000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B133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490F-737F-4428-ABCE-351D8AC8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6</cp:revision>
  <cp:lastPrinted>2024-01-15T07:49:00Z</cp:lastPrinted>
  <dcterms:created xsi:type="dcterms:W3CDTF">2024-01-15T07:42:00Z</dcterms:created>
  <dcterms:modified xsi:type="dcterms:W3CDTF">2024-01-15T09:31:00Z</dcterms:modified>
</cp:coreProperties>
</file>