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7F" w:rsidRDefault="0039017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017F" w:rsidRDefault="0039017F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39017F" w:rsidRDefault="0039017F">
      <w:pPr>
        <w:pStyle w:val="ConsPlusTitle"/>
        <w:widowControl/>
        <w:jc w:val="center"/>
      </w:pPr>
    </w:p>
    <w:p w:rsidR="0039017F" w:rsidRDefault="0039017F">
      <w:pPr>
        <w:pStyle w:val="ConsPlusTitle"/>
        <w:widowControl/>
        <w:jc w:val="center"/>
      </w:pPr>
      <w:r>
        <w:t>ПОСТАНОВЛЕНИЕ</w:t>
      </w:r>
    </w:p>
    <w:p w:rsidR="0039017F" w:rsidRDefault="0039017F">
      <w:pPr>
        <w:pStyle w:val="ConsPlusTitle"/>
        <w:widowControl/>
        <w:jc w:val="center"/>
      </w:pPr>
      <w:r>
        <w:t>от 21 июня 2010 г. N 468</w:t>
      </w:r>
    </w:p>
    <w:p w:rsidR="0039017F" w:rsidRDefault="0039017F">
      <w:pPr>
        <w:pStyle w:val="ConsPlusTitle"/>
        <w:widowControl/>
        <w:jc w:val="center"/>
      </w:pPr>
    </w:p>
    <w:p w:rsidR="0039017F" w:rsidRDefault="0039017F">
      <w:pPr>
        <w:pStyle w:val="ConsPlusTitle"/>
        <w:widowControl/>
        <w:jc w:val="center"/>
      </w:pPr>
      <w:r>
        <w:t>О ПОРЯДКЕ ПРОВЕДЕНИЯ</w:t>
      </w:r>
    </w:p>
    <w:p w:rsidR="0039017F" w:rsidRDefault="0039017F">
      <w:pPr>
        <w:pStyle w:val="ConsPlusTitle"/>
        <w:widowControl/>
        <w:jc w:val="center"/>
      </w:pPr>
      <w:r>
        <w:t>СТРОИТЕЛЬНОГО КОНТРОЛЯ ПРИ ОСУЩЕСТВЛЕНИИ СТРОИТЕЛЬСТВА,</w:t>
      </w:r>
    </w:p>
    <w:p w:rsidR="0039017F" w:rsidRDefault="0039017F">
      <w:pPr>
        <w:pStyle w:val="ConsPlusTitle"/>
        <w:widowControl/>
        <w:jc w:val="center"/>
      </w:pPr>
      <w:r>
        <w:t>РЕКОНСТРУКЦИИ И КАПИТАЛЬНОГО РЕМОНТА ОБЪЕКТОВ</w:t>
      </w:r>
    </w:p>
    <w:p w:rsidR="0039017F" w:rsidRDefault="0039017F">
      <w:pPr>
        <w:pStyle w:val="ConsPlusTitle"/>
        <w:widowControl/>
        <w:jc w:val="center"/>
      </w:pPr>
      <w:r>
        <w:t>КАПИТАЛЬНОГО СТРОИТЕЛЬСТВА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8 статьи 53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r:id="rId6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проведении строительного контроля при осуществлении строительства, реконструкции и капитального ремонта объектов капитального строительства.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Установить, что в отношении объектов капитального строительства, финансируемых полностью или частично с привлечением средств федерального бюджета: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если подготовка проектной документации завершена и принята заказчиком по акту приемки выполненных работ до вступления в силу настоящего Постановления, заказчик проектной документации вправе направить ее на государственную экспертизу без проведения дополнительных работ, связанных с осуществлением расчета размера затрат на проведение строительного контроля;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б) отсутствие расчета размера затрат на проведение строительного контроля в проектной документации, представленной на государственную экспертизу, в случае, указанном в </w:t>
      </w:r>
      <w:hyperlink r:id="rId7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а также в случае если государственная экспертиза проектной документации не завершена до вступления в силу настоящего Постановления, не является основанием для подготовки отрицательного заключения государственной экспертизы проектной документации;</w:t>
      </w:r>
      <w:proofErr w:type="gramEnd"/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при отсутствии в проектной документации расчета размера затрат на проведение строительного контроля финансирование расходов на его осуществление производится за счет средств, предусмотренных на непредвиденные работы и затраты в сводном сметном расчете стоимости строительства, в размере, не превышающем размер, рассчитанный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15</w:t>
        </w:r>
      </w:hyperlink>
      <w:r>
        <w:rPr>
          <w:rFonts w:ascii="Calibri" w:hAnsi="Calibri" w:cs="Calibri"/>
        </w:rPr>
        <w:t xml:space="preserve"> Положения, утвержденного настоящим Постановлением, за исключением случаев, если затраты на проведение строительного контроля на дату</w:t>
      </w:r>
      <w:proofErr w:type="gramEnd"/>
      <w:r>
        <w:rPr>
          <w:rFonts w:ascii="Calibri" w:hAnsi="Calibri" w:cs="Calibri"/>
        </w:rPr>
        <w:t xml:space="preserve"> вступления в силу настоящего Постановления превысили установленный размер.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июня 2010 г. N 468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pStyle w:val="ConsPlusTitle"/>
        <w:widowControl/>
        <w:jc w:val="center"/>
      </w:pPr>
      <w:r>
        <w:t>ПОЛОЖЕНИЕ</w:t>
      </w:r>
    </w:p>
    <w:p w:rsidR="0039017F" w:rsidRDefault="0039017F">
      <w:pPr>
        <w:pStyle w:val="ConsPlusTitle"/>
        <w:widowControl/>
        <w:jc w:val="center"/>
      </w:pPr>
      <w:r>
        <w:t>О ПРОВЕДЕНИИ СТРОИТЕЛЬНОГО КОНТРОЛЯ ПРИ ОСУЩЕСТВЛЕНИИ</w:t>
      </w:r>
    </w:p>
    <w:p w:rsidR="0039017F" w:rsidRDefault="0039017F">
      <w:pPr>
        <w:pStyle w:val="ConsPlusTitle"/>
        <w:widowControl/>
        <w:jc w:val="center"/>
      </w:pPr>
      <w:r>
        <w:t>СТРОИТЕЛЬСТВА, РЕКОНСТРУКЦИИ И КАПИТАЛЬНОГО РЕМОНТА</w:t>
      </w:r>
    </w:p>
    <w:p w:rsidR="0039017F" w:rsidRDefault="0039017F">
      <w:pPr>
        <w:pStyle w:val="ConsPlusTitle"/>
        <w:widowControl/>
        <w:jc w:val="center"/>
      </w:pPr>
      <w:r>
        <w:t>ОБЪЕКТОВ КАПИТАЛЬНОГО СТРОИТЕЛЬСТВА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Настоящее Положение устанавливает порядок проведения строительного контроля при осуществлении строительства, реконструкции и капитального ремонта (далее - строительство) объектов капитального строительства независимо от источников их финансирования, а также порядок определения размера затрат на проведение строительного контроля и численности работников, осуществляющих строительный контроль, по объектам, финансируемым полностью или частично с привлечением средств федерального бюджета.</w:t>
      </w:r>
      <w:proofErr w:type="gramEnd"/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Предметом строительного контроля является проверка выполнения работ при строительстве объектов капитального строительства на соответствие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 в целях обеспечения безопасности зданий и сооружений.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Строительный контроль проводится: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лицом, осуществляющим строительство (далее - подрядчик);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застройщиком, заказчиком либо организацией, осуществляющей подготовку проектной документации и привлеченной заказчиком (застройщиком) по договору для осуществления строительного контроля (в части проверки соответствия выполняемых работ проектной документации) (далее - заказчик).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Функции строительного контроля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Строительный контроль, осуществляемый подрядчиком, включает проведение следующих контрольных мероприятий: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проверка качества строительных материалов, изделий, конструкций и оборудования, поставленных для строительства объекта капитального строительства (далее соответственно - продукция, входной контроль);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проверка соблюдения установленных норм и правил складирования и хранения применяемой продукции;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проверка соблюдения последовательности и состава технологических операций при осуществлении строительства объекта капитального строительства;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совместно с заказчиком освидетельствование работ, скрываемых последующими работами (далее - скрытые работы),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приемка законченных видов (этапов) работ;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технических регламентов.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Строительный контроль, осуществляемый заказчиком, включает проведение следующих контрольных мероприятий: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проверка полноты и соблюдения установленных сроков выполнения подрядчиком входного контроля и достоверности документирования его результатов;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совместно с подрядчиком освидетельствование скрытых работ и промежуточная приемка возведенных строительных конструкций, влияющих на безопасность объекта капитального строительства, участков сетей инженерно-технического обеспечения;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д)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документации, результатам инженерных изысканий, требованиям градостроительного плана земельного участка, требованиям технических регламентов;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иные мероприятия в целях осуществления строительного контроля, предусмотренные законодательством Российской Федерации и (или) заключенным договором.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Входной контроль осуществляется до момента применения продукции в процессе строительства и включает проверку наличия и содержания документов поставщиков, содержащих сведения о качестве поставленной ими продукции, ее соответствия требованиям рабочей документации, технических регламентов, стандартов и сводов правил.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при входном контроле продукции, не соответствующей установленным требованиям, ее применение для строительства не допускается.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если в ходе проверки соблюдения правил складирования и хранения выявлены нарушения установленных норм и правил, применение продукции, хранившейся с нарушением, для строительства не допускается впредь до подтверждения соответствия показателей ее качества требованиям рабочей документации, технических регламентов, стандартов и сводов правил.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ходе контроля последовательности и состава технологических операций по строительству объектов капитального строительства осуществляется проверка: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соблюдения последовательности и состава выполняемых технологических операций и их соответствия требованиям технических регламентов, стандартов, сводов правил, проектной документации, результатам инженерных изысканий, градостроительному плану земельного участка;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соответствия качества выполнения технологических операций и их результатов требованиям проектной и подготовленной на ее основе рабочей документации, а также требованиям технических регламентов, стандартов и сводов правил.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До завершения процедуры освидетельствования скрытых работ выполнение последующих работ запрещается.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случае если контрольные мероприятия выполняются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 и </w:t>
      </w:r>
      <w:hyperlink r:id="rId10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настоящего Положения совместно подрядчиком и заказчиком, подрядчик обеспечивает уведомление заказчика о дате и времени проведения этих мероприятий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3 рабочих дня.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заказчик был уведомлен в установленном порядке и не явился для участия в контрольных мероприятиях, подрядчик вправе провести их в отсутствие заказчика.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Проведение контрольного мероприятия и его результаты фиксируются путем составления акта. Сведения о проведенных контрольных мероприятиях и их результатах отражаются в общем журнале работ с приложением к нему соответствующих актов. Акты, составленные по результатам контрольных мероприятий, проводимых совместно подрядчиком и заказчиком, составляются в 2 экземплярах и подписываются их представителями.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предусмотренном </w:t>
      </w:r>
      <w:hyperlink r:id="rId11" w:history="1">
        <w:r>
          <w:rPr>
            <w:rFonts w:ascii="Calibri" w:hAnsi="Calibri" w:cs="Calibri"/>
            <w:color w:val="0000FF"/>
          </w:rPr>
          <w:t>абзацем вторым пункта 11</w:t>
        </w:r>
      </w:hyperlink>
      <w:r>
        <w:rPr>
          <w:rFonts w:ascii="Calibri" w:hAnsi="Calibri" w:cs="Calibri"/>
        </w:rPr>
        <w:t xml:space="preserve"> настоящего Положения, подрядчик в течение 3 дней после завершения контрольного мероприятия обязан направить заказчику 1 копию акта, составленного по результатам контрольного мероприятия.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На объектах капитального строительства, возводимых полностью или частично с привлечением средств федерального бюджета, осуществление подрядчиком строительного контроля финансируется за счет накладных расходов подрядчика, предусмотренных в цене договора строительного подряда.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Нормативы расходов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и нормативы численности работников заказчика, на которых в установленном порядке возлагается обязанность по осуществлению строительного контроля, определяются согласно </w:t>
      </w:r>
      <w:hyperlink r:id="rId12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15. </w:t>
      </w:r>
      <w:proofErr w:type="gramStart"/>
      <w:r>
        <w:rPr>
          <w:rFonts w:ascii="Calibri" w:hAnsi="Calibri" w:cs="Calibri"/>
        </w:rPr>
        <w:t xml:space="preserve">Размер затрат заказчика на осуществление строительного контроля при строительстве объектов капитального строительства, финансируемых полностью или частично с привлечением средств федерального бюджета, определяется исходя из общей стоимости строительства, за исключением расходов на приобретение земельных участков, в базисном уровне цен по состоянию на 1 января 2000 г. (без налога на добавленную стоимость) путем расчета с применением нормативов расходов заказчика, определенных в </w:t>
      </w:r>
      <w:hyperlink r:id="rId13" w:history="1">
        <w:r>
          <w:rPr>
            <w:rFonts w:ascii="Calibri" w:hAnsi="Calibri" w:cs="Calibri"/>
            <w:color w:val="0000FF"/>
          </w:rPr>
          <w:t>приложении</w:t>
        </w:r>
        <w:proofErr w:type="gramEnd"/>
      </w:hyperlink>
      <w:r>
        <w:rPr>
          <w:rFonts w:ascii="Calibri" w:hAnsi="Calibri" w:cs="Calibri"/>
        </w:rPr>
        <w:t xml:space="preserve"> к настоящему Положению, и указывается в </w:t>
      </w:r>
      <w:hyperlink r:id="rId14" w:history="1">
        <w:r>
          <w:rPr>
            <w:rFonts w:ascii="Calibri" w:hAnsi="Calibri" w:cs="Calibri"/>
            <w:color w:val="0000FF"/>
          </w:rPr>
          <w:t>главе 10</w:t>
        </w:r>
      </w:hyperlink>
      <w:r>
        <w:rPr>
          <w:rFonts w:ascii="Calibri" w:hAnsi="Calibri" w:cs="Calibri"/>
        </w:rPr>
        <w:t xml:space="preserve"> сводного сметного расчета стоимости строительства отдельной строкой "Строительный контроль".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Положению о проведении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строительного контроля </w:t>
      </w:r>
      <w:proofErr w:type="gramStart"/>
      <w:r>
        <w:rPr>
          <w:rFonts w:ascii="Calibri" w:hAnsi="Calibri" w:cs="Calibri"/>
        </w:rPr>
        <w:t>при</w:t>
      </w:r>
      <w:proofErr w:type="gramEnd"/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осуществлении</w:t>
      </w:r>
      <w:proofErr w:type="gramEnd"/>
      <w:r>
        <w:rPr>
          <w:rFonts w:ascii="Calibri" w:hAnsi="Calibri" w:cs="Calibri"/>
        </w:rPr>
        <w:t xml:space="preserve"> строительства,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реконструкции и </w:t>
      </w:r>
      <w:proofErr w:type="gramStart"/>
      <w:r>
        <w:rPr>
          <w:rFonts w:ascii="Calibri" w:hAnsi="Calibri" w:cs="Calibri"/>
        </w:rPr>
        <w:t>капитального</w:t>
      </w:r>
      <w:proofErr w:type="gramEnd"/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ремонта объектов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капитального строительства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НОРМАТИВЫ РАСХОДОВ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ЗАКАЗЧИКА НА ОСУЩЕСТВЛЕНИЕ СТРОИТЕЛЬНОГО КОНТРОЛЯ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СТРОИТЕЛЬСТВЕ ОБЪЕКТОВ КАПИТАЛЬНОГО СТРОИТЕЛЬСТВА,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ФИНАНСИРУЕМЫХ</w:t>
      </w:r>
      <w:proofErr w:type="gramEnd"/>
      <w:r>
        <w:rPr>
          <w:rFonts w:ascii="Calibri" w:hAnsi="Calibri" w:cs="Calibri"/>
        </w:rPr>
        <w:t xml:space="preserve"> ПОЛНОСТЬЮ ИЛИ ЧАСТИЧНО С ПРИВЛЕЧЕНИЕМ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СРЕДСТВ ФЕДЕРАЛЬНОГО БЮДЖЕТА, И НОРМАТИВЫ ЧИСЛЕННОСТИ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РАБОТНИКОВ ЗАКАЗЧИКА, НА КОТОРЫХ В </w:t>
      </w:r>
      <w:proofErr w:type="gramStart"/>
      <w:r>
        <w:rPr>
          <w:rFonts w:ascii="Calibri" w:hAnsi="Calibri" w:cs="Calibri"/>
        </w:rPr>
        <w:t>УСТАНОВЛЕННОМ</w:t>
      </w:r>
      <w:proofErr w:type="gramEnd"/>
    </w:p>
    <w:p w:rsidR="0039017F" w:rsidRDefault="00390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ВОЗЛАГАЕТСЯ ОБЯЗАННОСТЬ ПО ОСУЩЕСТВЛЕНИЮ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СТРОИТЕЛЬНОГО КОНТРОЛЯ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pStyle w:val="ConsPlusNonformat"/>
        <w:widowControl/>
        <w:jc w:val="both"/>
      </w:pPr>
      <w:r>
        <w:t>───────────────────────────┬──────────────────────┬────────────────────────</w:t>
      </w:r>
    </w:p>
    <w:p w:rsidR="0039017F" w:rsidRDefault="0039017F">
      <w:pPr>
        <w:pStyle w:val="ConsPlusNonformat"/>
        <w:widowControl/>
        <w:jc w:val="both"/>
      </w:pPr>
      <w:r>
        <w:t xml:space="preserve">  Стоимость строительства  │  Норматив расходов   │ Норматив численности</w:t>
      </w:r>
    </w:p>
    <w:p w:rsidR="0039017F" w:rsidRDefault="0039017F">
      <w:pPr>
        <w:pStyle w:val="ConsPlusNonformat"/>
        <w:widowControl/>
        <w:jc w:val="both"/>
      </w:pPr>
      <w:r>
        <w:t xml:space="preserve">   в базисном уровне цен   │     заказчика на     │ работников заказчика,</w:t>
      </w:r>
    </w:p>
    <w:p w:rsidR="0039017F" w:rsidRDefault="0039017F">
      <w:pPr>
        <w:pStyle w:val="ConsPlusNonformat"/>
        <w:widowControl/>
        <w:jc w:val="both"/>
      </w:pPr>
      <w:r>
        <w:t xml:space="preserve">        по состоянию       │    осуществление     │    </w:t>
      </w:r>
      <w:proofErr w:type="gramStart"/>
      <w:r>
        <w:t>осуществляющих</w:t>
      </w:r>
      <w:proofErr w:type="gramEnd"/>
    </w:p>
    <w:p w:rsidR="0039017F" w:rsidRDefault="0039017F">
      <w:pPr>
        <w:pStyle w:val="ConsPlusNonformat"/>
        <w:widowControl/>
        <w:jc w:val="both"/>
      </w:pPr>
      <w:r>
        <w:t xml:space="preserve">    на 1 января 2000 г.    │    строительного     │ строительный контроль</w:t>
      </w:r>
    </w:p>
    <w:p w:rsidR="0039017F" w:rsidRDefault="0039017F">
      <w:pPr>
        <w:pStyle w:val="ConsPlusNonformat"/>
        <w:widowControl/>
        <w:jc w:val="both"/>
      </w:pPr>
      <w:r>
        <w:t xml:space="preserve">       (млн. рублей)       │       контроля       │       (человек)</w:t>
      </w:r>
    </w:p>
    <w:p w:rsidR="0039017F" w:rsidRDefault="0039017F">
      <w:pPr>
        <w:pStyle w:val="ConsPlusNonformat"/>
        <w:widowControl/>
        <w:jc w:val="both"/>
      </w:pPr>
      <w:r>
        <w:t xml:space="preserve">                           │     (процентов)      │</w:t>
      </w:r>
    </w:p>
    <w:p w:rsidR="0039017F" w:rsidRDefault="0039017F">
      <w:pPr>
        <w:pStyle w:val="ConsPlusNonformat"/>
        <w:widowControl/>
        <w:jc w:val="both"/>
      </w:pPr>
      <w:r>
        <w:t>───────────────────────────┴──────────────────────┴────────────────────────</w:t>
      </w:r>
    </w:p>
    <w:p w:rsidR="0039017F" w:rsidRDefault="0039017F">
      <w:pPr>
        <w:pStyle w:val="ConsPlusNonformat"/>
        <w:widowControl/>
      </w:pPr>
      <w:r>
        <w:t xml:space="preserve"> до 30                               2,14                     2</w:t>
      </w:r>
    </w:p>
    <w:p w:rsidR="0039017F" w:rsidRDefault="0039017F">
      <w:pPr>
        <w:pStyle w:val="ConsPlusNonformat"/>
        <w:widowControl/>
      </w:pPr>
      <w:r>
        <w:t xml:space="preserve"> от 30 до 50                         1,93                     3</w:t>
      </w:r>
    </w:p>
    <w:p w:rsidR="0039017F" w:rsidRDefault="0039017F">
      <w:pPr>
        <w:pStyle w:val="ConsPlusNonformat"/>
        <w:widowControl/>
      </w:pPr>
      <w:r>
        <w:t xml:space="preserve"> от 50 до 70                         1,81                     4</w:t>
      </w:r>
    </w:p>
    <w:p w:rsidR="0039017F" w:rsidRDefault="0039017F">
      <w:pPr>
        <w:pStyle w:val="ConsPlusNonformat"/>
        <w:widowControl/>
      </w:pPr>
      <w:r>
        <w:t xml:space="preserve"> от 70 до 90                         1,72                     5</w:t>
      </w:r>
    </w:p>
    <w:p w:rsidR="0039017F" w:rsidRDefault="0039017F">
      <w:pPr>
        <w:pStyle w:val="ConsPlusNonformat"/>
        <w:widowControl/>
      </w:pPr>
      <w:r>
        <w:t xml:space="preserve"> от 90 до 125                        1,61                     6</w:t>
      </w:r>
    </w:p>
    <w:p w:rsidR="0039017F" w:rsidRDefault="0039017F">
      <w:pPr>
        <w:pStyle w:val="ConsPlusNonformat"/>
        <w:widowControl/>
      </w:pPr>
      <w:r>
        <w:t xml:space="preserve"> от 125 до 150                       1,56                     7</w:t>
      </w:r>
    </w:p>
    <w:p w:rsidR="0039017F" w:rsidRDefault="0039017F">
      <w:pPr>
        <w:pStyle w:val="ConsPlusNonformat"/>
        <w:widowControl/>
      </w:pPr>
      <w:r>
        <w:t xml:space="preserve"> от 150 до 200                       1,47                     9</w:t>
      </w:r>
    </w:p>
    <w:p w:rsidR="0039017F" w:rsidRDefault="0039017F">
      <w:pPr>
        <w:pStyle w:val="ConsPlusNonformat"/>
        <w:widowControl/>
      </w:pPr>
      <w:r>
        <w:t xml:space="preserve"> от 200 до 300                       1,36                    12</w:t>
      </w:r>
    </w:p>
    <w:p w:rsidR="0039017F" w:rsidRDefault="0039017F">
      <w:pPr>
        <w:pStyle w:val="ConsPlusNonformat"/>
        <w:widowControl/>
      </w:pPr>
      <w:r>
        <w:t xml:space="preserve"> от 300 до 400                       1,28                    15</w:t>
      </w:r>
    </w:p>
    <w:p w:rsidR="0039017F" w:rsidRDefault="0039017F">
      <w:pPr>
        <w:pStyle w:val="ConsPlusNonformat"/>
        <w:widowControl/>
      </w:pPr>
      <w:r>
        <w:t xml:space="preserve"> от 400 до 500                       1,23                    18</w:t>
      </w:r>
    </w:p>
    <w:p w:rsidR="0039017F" w:rsidRDefault="0039017F">
      <w:pPr>
        <w:pStyle w:val="ConsPlusNonformat"/>
        <w:widowControl/>
      </w:pPr>
      <w:r>
        <w:t xml:space="preserve"> от 500 до 600                       1,18                    21</w:t>
      </w:r>
    </w:p>
    <w:p w:rsidR="0039017F" w:rsidRDefault="0039017F">
      <w:pPr>
        <w:pStyle w:val="ConsPlusNonformat"/>
        <w:widowControl/>
      </w:pPr>
      <w:r>
        <w:t xml:space="preserve"> от 600 до 750                       1,13                    25</w:t>
      </w:r>
    </w:p>
    <w:p w:rsidR="0039017F" w:rsidRDefault="0039017F">
      <w:pPr>
        <w:pStyle w:val="ConsPlusNonformat"/>
        <w:widowControl/>
      </w:pPr>
      <w:r>
        <w:t xml:space="preserve"> от 750 до 900                       1,09                    28</w:t>
      </w:r>
    </w:p>
    <w:p w:rsidR="0039017F" w:rsidRDefault="0039017F">
      <w:pPr>
        <w:pStyle w:val="ConsPlusNonformat"/>
        <w:widowControl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При стоимости строительства более 900 млн. рублей в базисном уровне цен по состоянию на 1 января 2000 г.: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нормативы расходов на осуществление строительного контроля заказчика определяются по формуле </w:t>
      </w:r>
      <w:r>
        <w:rPr>
          <w:rFonts w:ascii="Calibri" w:hAnsi="Calibri" w:cs="Calibri"/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15pt;height:18.25pt">
            <v:imagedata r:id="rId15" o:title=""/>
          </v:shape>
        </w:pict>
      </w:r>
      <w:r>
        <w:rPr>
          <w:rFonts w:ascii="Calibri" w:hAnsi="Calibri" w:cs="Calibri"/>
        </w:rPr>
        <w:t>,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где: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 - норматив расходов на осуществление строительного контроля заказчика в процентах;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- стоимость строительства в базисном уровне цен по состоянию на 1 января 2000 г.;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position w:val="-6"/>
        </w:rPr>
        <w:pict>
          <v:shape id="_x0000_i1026" type="#_x0000_t75" style="width:30.65pt;height:15.6pt">
            <v:imagedata r:id="rId16" o:title=""/>
          </v:shape>
        </w:pict>
      </w:r>
      <w:r>
        <w:rPr>
          <w:rFonts w:ascii="Calibri" w:hAnsi="Calibri" w:cs="Calibri"/>
        </w:rPr>
        <w:t>- стоимость строительства в базисном уровне цен по состоянию на 1 января 2000 г., возведенная в степень 0,8022;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численность работников заказчика, осуществляющих строительный контроль, увеличивается на 1 человека на каждые 30 млн. рублей сверх указанной суммы.</w:t>
      </w: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9017F" w:rsidRDefault="0039017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4E076F" w:rsidRDefault="004E076F">
      <w:bookmarkStart w:id="0" w:name="_GoBack"/>
      <w:bookmarkEnd w:id="0"/>
    </w:p>
    <w:sectPr w:rsidR="004E076F" w:rsidSect="00A6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17F"/>
    <w:rsid w:val="0039017F"/>
    <w:rsid w:val="004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0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901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01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1791;fld=134;dst=100047" TargetMode="External"/><Relationship Id="rId13" Type="http://schemas.openxmlformats.org/officeDocument/2006/relationships/hyperlink" Target="consultantplus://offline/main?base=LAW;n=101791;fld=134;dst=10004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1791;fld=134;dst=100007" TargetMode="External"/><Relationship Id="rId12" Type="http://schemas.openxmlformats.org/officeDocument/2006/relationships/hyperlink" Target="consultantplus://offline/main?base=LAW;n=101791;fld=134;dst=10004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1791;fld=134;dst=100012" TargetMode="External"/><Relationship Id="rId11" Type="http://schemas.openxmlformats.org/officeDocument/2006/relationships/hyperlink" Target="consultantplus://offline/main?base=LAW;n=101791;fld=134;dst=100042" TargetMode="External"/><Relationship Id="rId5" Type="http://schemas.openxmlformats.org/officeDocument/2006/relationships/hyperlink" Target="consultantplus://offline/main?base=LAW;n=117503;fld=134;dst=100870" TargetMode="Externa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main?base=LAW;n=101791;fld=134;dst=100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1791;fld=134;dst=100019" TargetMode="External"/><Relationship Id="rId14" Type="http://schemas.openxmlformats.org/officeDocument/2006/relationships/hyperlink" Target="consultantplus://offline/main?base=LAW;n=110702;fld=134;dst=100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2011-09-05T10:54:00Z</dcterms:created>
  <dcterms:modified xsi:type="dcterms:W3CDTF">2011-09-05T10:55:00Z</dcterms:modified>
</cp:coreProperties>
</file>